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2C" w:rsidRPr="000105ED" w:rsidRDefault="00F0392C" w:rsidP="000105ED">
      <w:pPr>
        <w:pStyle w:val="normalweb"/>
        <w:shd w:val="clear" w:color="auto" w:fill="FFFFFF"/>
        <w:spacing w:before="0" w:beforeAutospacing="0" w:after="0" w:afterAutospacing="0"/>
        <w:ind w:firstLine="567"/>
        <w:jc w:val="center"/>
        <w:rPr>
          <w:b/>
          <w:color w:val="333333"/>
          <w:sz w:val="22"/>
          <w:szCs w:val="22"/>
          <w:lang w:val="uk-UA"/>
        </w:rPr>
      </w:pPr>
      <w:r w:rsidRPr="000105ED">
        <w:rPr>
          <w:b/>
          <w:color w:val="333333"/>
          <w:lang w:val="uk-UA"/>
        </w:rPr>
        <w:t>Плата за землю – це обов’язковий платіж</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 xml:space="preserve">Старобільський відділ податків і зборів з фізичних осіб управління податкового адміністрування Головного управління ДПС у Луганській області </w:t>
      </w:r>
      <w:r>
        <w:rPr>
          <w:color w:val="333333"/>
          <w:sz w:val="22"/>
          <w:szCs w:val="22"/>
          <w:lang w:val="uk-UA"/>
        </w:rPr>
        <w:t>повідомляє, що в</w:t>
      </w:r>
      <w:r w:rsidRPr="00F3726D">
        <w:rPr>
          <w:color w:val="333333"/>
          <w:sz w:val="22"/>
          <w:szCs w:val="22"/>
          <w:lang w:val="uk-UA"/>
        </w:rPr>
        <w:t>ідповідно до  п.п. 14.1.147 п. 14.1 ст. 14 Податкового кодексу України (далі – ПКУ),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b/>
          <w:color w:val="333333"/>
          <w:sz w:val="22"/>
          <w:szCs w:val="22"/>
          <w:lang w:val="uk-UA"/>
        </w:rPr>
        <w:t>Земельний податок</w:t>
      </w:r>
      <w:r w:rsidRPr="00F3726D">
        <w:rPr>
          <w:color w:val="333333"/>
          <w:sz w:val="22"/>
          <w:szCs w:val="22"/>
          <w:lang w:val="uk-UA"/>
        </w:rPr>
        <w:t xml:space="preserve"> – це обов’язковий платіж, що справляється з власників земельних ділянок та земельних часток (паїв), а також постійних землекористувачів (п.п. 14.1.72 п. 14.1 ст. 14 ПКУ).</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 xml:space="preserve">Згідно з п.п. 14.1.136 п. 14.1 ст. 14 ПКУ, </w:t>
      </w:r>
      <w:r w:rsidRPr="00F3726D">
        <w:rPr>
          <w:b/>
          <w:color w:val="333333"/>
          <w:sz w:val="22"/>
          <w:szCs w:val="22"/>
          <w:lang w:val="uk-UA"/>
        </w:rPr>
        <w:t>орендна плата</w:t>
      </w:r>
      <w:r w:rsidRPr="00F3726D">
        <w:rPr>
          <w:color w:val="333333"/>
          <w:sz w:val="22"/>
          <w:szCs w:val="22"/>
          <w:lang w:val="uk-UA"/>
        </w:rPr>
        <w:t xml:space="preserve"> за земельні ділянки державної і комунальної власності – це обов’язковий платіж, який орендар вносить орендодавцеві за користування земельною ділянкою.</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 42 ПКУ, до 01 липня поточного року податкове повідомлення-рішення про внесення податку за формою, встановленою у порядку, визначеному ст. 58 ПКУ  (п. 286.5 ст. 286 ПКУ).</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Звертаємо увагу, що 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розміру площ та кількості земельних ділянок, що перебувають у власності та/або користуванні платника податку;</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права на користування пільгою зі сплати земельного податку з урахуванням положень підпунктів 281.4 та 281.5 ст. 281 ПКУ;</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розміру ставки земельного податку;</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нарахованої суми плати за землю.</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зокрема документів на право власності, користування пільгою, а також у разі зміни розміру ставки плати за землю контролюючий орган (контролюючі органи) за місцем знаходження кожної із земельних ділянок проводить (проводять) протягом десяти робочих днів перерахунок суми податку і надсилає (вручає)/надсилають (вручають) йому нове податкове повідомлення-рішення. Попереднє податкове повідомлення-рішення вважається скасованим (відкликаним).</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Пільги щодо сплати земельного податку для фізичних осіб наведено в ст. 281 Податкового кодексу України від 02 грудня 2010 року № 2755-VI зі змінами та доповненнями (далі – ПКУ).</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Так, згідно з п. 281.1 ст. 281 ПКУ від сплати земельного податку звільняються:</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особи з інвалідністю першої і другої групи;</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фізичні особи, які виховують трьох і більше дітей віком до 18 років;</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пенсіонери (за віком);</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 xml:space="preserve">ветерани війни та особи, на яких поширюється дія </w:t>
      </w:r>
      <w:r>
        <w:rPr>
          <w:color w:val="333333"/>
          <w:sz w:val="22"/>
          <w:szCs w:val="22"/>
          <w:lang w:val="uk-UA"/>
        </w:rPr>
        <w:t xml:space="preserve">  </w:t>
      </w:r>
      <w:r w:rsidRPr="00F3726D">
        <w:rPr>
          <w:color w:val="333333"/>
          <w:sz w:val="22"/>
          <w:szCs w:val="22"/>
          <w:lang w:val="uk-UA"/>
        </w:rPr>
        <w:t>Закону</w:t>
      </w:r>
      <w:r>
        <w:rPr>
          <w:color w:val="333333"/>
          <w:sz w:val="22"/>
          <w:szCs w:val="22"/>
          <w:lang w:val="uk-UA"/>
        </w:rPr>
        <w:t xml:space="preserve">  </w:t>
      </w:r>
      <w:r w:rsidRPr="00F3726D">
        <w:rPr>
          <w:color w:val="333333"/>
          <w:sz w:val="22"/>
          <w:szCs w:val="22"/>
          <w:lang w:val="uk-UA"/>
        </w:rPr>
        <w:t xml:space="preserve"> України від 22 жовтня 1993 року </w:t>
      </w:r>
      <w:r>
        <w:rPr>
          <w:color w:val="333333"/>
          <w:sz w:val="22"/>
          <w:szCs w:val="22"/>
          <w:lang w:val="uk-UA"/>
        </w:rPr>
        <w:t xml:space="preserve"> </w:t>
      </w:r>
      <w:r w:rsidRPr="00F3726D">
        <w:rPr>
          <w:color w:val="333333"/>
          <w:sz w:val="22"/>
          <w:szCs w:val="22"/>
          <w:lang w:val="uk-UA"/>
        </w:rPr>
        <w:t>№ 3551-XII «Про статус ветеранів війни, гарантії їх соціального захисту»;</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фізичні особи, визнані законом особами, які постраждали внаслідок Чорнобильської катастрофи.</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Відповідно до п. 281.2 ст. 281 ПКУ звільнення від сплати податку за земельні ділянки, передбачене для відповідної категорії фізичних осіб п. 281.1 ст. 281 ПКУ, поширюється на земельні ділянки за кожним видом використання у межах граничних норм:</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для ведення особистого селянського господарства – у розмірі не більш як 2 гектари;</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для індивідуального дачного будівництва – не більш як 0,10 гектара;</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для будівництва індивідуальних гаражів – не більш як 0,01 гектара;</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для ведення садівництва – не більш як 0,12 гектара.</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Пунктом 281.4 ст. 281 ПКУ визначено, що якщо фізична особа, визначена у п. 281.1 ст. 281 ПКУ, станом на 01 січня поточного року має у власності декілька земельних ділянок одного виду використання, площа яких перевищує межі граничних норм, визначених п. 281.2 ст. 281 ПКУ, така особа до 01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У разі подання фізичною особою, яка станом на 01 січня поточного року має у власності декілька земельних ділянок одного виду використання, заяви про застосування пільги після 01 травня поточного року, пільга починає застосовуватися до обраних земельних ділянок з наступного податкового (звітного) періоду.</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Згідно з п. 281.5 ст. 281 ПКУ, 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 281.1 ст. 281 ПКУ,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Пільга починає застосовуватися до обраних земельних ділянок з урахуванням вимог п. 284.2 ст. 284 ПКУ та діє до початку місяця, що настає за місяцем подання нової заяви про застосування пільги.</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У разі недотримання фізичною особою вимог абзацу першого п. 281.5 ст. 281 ПКУ пільга починає застосовуватися до обраних земельних ділянок з наступного податкового (звітного) періоду.</w:t>
      </w:r>
    </w:p>
    <w:p w:rsidR="00F0392C" w:rsidRPr="00F3726D" w:rsidRDefault="00F0392C" w:rsidP="00F3726D">
      <w:pPr>
        <w:pStyle w:val="NormalWeb0"/>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Базовим податковим (звітним) періодом для плати за землю є календарний рік (п. 285.1 ст. 285 ПКУ).</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плати за землю, в приватній частині Електронного кабінету, вхід до якого здійснюється за адресою:</w:t>
      </w:r>
      <w:r w:rsidRPr="00F3726D">
        <w:rPr>
          <w:rStyle w:val="apple-converted-space"/>
          <w:color w:val="333333"/>
          <w:sz w:val="22"/>
          <w:szCs w:val="22"/>
          <w:lang w:val="uk-UA"/>
        </w:rPr>
        <w:t> </w:t>
      </w:r>
      <w:hyperlink r:id="rId4" w:history="1">
        <w:r w:rsidRPr="00F3726D">
          <w:rPr>
            <w:rStyle w:val="Hyperlink"/>
            <w:color w:val="00518C"/>
            <w:sz w:val="22"/>
            <w:szCs w:val="22"/>
            <w:lang w:val="uk-UA"/>
          </w:rPr>
          <w:t>http://cabinet.tax.gov.ua</w:t>
        </w:r>
      </w:hyperlink>
      <w:r w:rsidRPr="00F3726D">
        <w:rPr>
          <w:color w:val="333333"/>
          <w:sz w:val="22"/>
          <w:szCs w:val="22"/>
          <w:lang w:val="uk-UA"/>
        </w:rPr>
        <w:t>, а також через офіційний вебпортал ДПС.</w:t>
      </w:r>
    </w:p>
    <w:p w:rsidR="00F0392C" w:rsidRPr="00F3726D" w:rsidRDefault="00F0392C" w:rsidP="00F3726D">
      <w:pPr>
        <w:pStyle w:val="normalweb"/>
        <w:shd w:val="clear" w:color="auto" w:fill="FFFFFF"/>
        <w:spacing w:before="0" w:beforeAutospacing="0" w:after="0" w:afterAutospacing="0"/>
        <w:ind w:firstLine="567"/>
        <w:jc w:val="both"/>
        <w:rPr>
          <w:color w:val="333333"/>
          <w:sz w:val="22"/>
          <w:szCs w:val="22"/>
          <w:lang w:val="uk-UA"/>
        </w:rPr>
      </w:pPr>
      <w:r w:rsidRPr="00F3726D">
        <w:rPr>
          <w:color w:val="333333"/>
          <w:sz w:val="22"/>
          <w:szCs w:val="22"/>
          <w:lang w:val="uk-UA"/>
        </w:rPr>
        <w:t xml:space="preserve">Нагадуємо, що </w:t>
      </w:r>
      <w:r>
        <w:rPr>
          <w:color w:val="333333"/>
          <w:sz w:val="22"/>
          <w:szCs w:val="22"/>
          <w:lang w:val="uk-UA"/>
        </w:rPr>
        <w:t xml:space="preserve">податок </w:t>
      </w:r>
      <w:r w:rsidRPr="00F3726D">
        <w:rPr>
          <w:color w:val="333333"/>
          <w:sz w:val="22"/>
          <w:szCs w:val="22"/>
          <w:lang w:val="uk-UA"/>
        </w:rPr>
        <w:t>фізичними особами сплачується протягом 60 днів з дня вручення податкового повідомлення-рішення.</w:t>
      </w:r>
    </w:p>
    <w:p w:rsidR="00F0392C" w:rsidRDefault="00F0392C" w:rsidP="00D52474">
      <w:pPr>
        <w:ind w:left="4536" w:firstLine="0"/>
        <w:jc w:val="both"/>
        <w:rPr>
          <w:rFonts w:ascii="Times New Roman" w:hAnsi="Times New Roman"/>
          <w:b/>
          <w:color w:val="333333"/>
          <w:lang w:val="uk-UA"/>
        </w:rPr>
      </w:pPr>
      <w:r>
        <w:rPr>
          <w:rFonts w:ascii="Times New Roman" w:hAnsi="Times New Roman"/>
          <w:b/>
          <w:color w:val="333333"/>
          <w:lang w:val="uk-UA"/>
        </w:rPr>
        <w:t>Старобільський сектор організації роботи</w:t>
      </w:r>
    </w:p>
    <w:p w:rsidR="00F0392C" w:rsidRDefault="00F0392C" w:rsidP="00D52474">
      <w:pPr>
        <w:ind w:left="4536" w:firstLine="0"/>
        <w:jc w:val="both"/>
        <w:rPr>
          <w:rFonts w:ascii="Times New Roman" w:hAnsi="Times New Roman"/>
          <w:b/>
          <w:color w:val="333333"/>
          <w:lang w:val="uk-UA"/>
        </w:rPr>
      </w:pPr>
      <w:r>
        <w:rPr>
          <w:rFonts w:ascii="Times New Roman" w:hAnsi="Times New Roman"/>
          <w:b/>
          <w:color w:val="333333"/>
          <w:lang w:val="uk-UA"/>
        </w:rPr>
        <w:t>організаційно-розпорядчого управління</w:t>
      </w:r>
    </w:p>
    <w:p w:rsidR="00F0392C" w:rsidRDefault="00F0392C" w:rsidP="00D52474">
      <w:pPr>
        <w:ind w:left="4536" w:firstLine="0"/>
        <w:jc w:val="both"/>
        <w:rPr>
          <w:rFonts w:ascii="Times New Roman" w:hAnsi="Times New Roman"/>
          <w:b/>
          <w:color w:val="333333"/>
          <w:lang w:val="uk-UA"/>
        </w:rPr>
      </w:pPr>
      <w:r>
        <w:rPr>
          <w:rFonts w:ascii="Times New Roman" w:hAnsi="Times New Roman"/>
          <w:b/>
          <w:color w:val="333333"/>
          <w:lang w:val="uk-UA"/>
        </w:rPr>
        <w:t>Головного управління ДПС у Луганській області</w:t>
      </w:r>
    </w:p>
    <w:p w:rsidR="00F0392C" w:rsidRPr="00F3726D" w:rsidRDefault="00F0392C" w:rsidP="00F3726D">
      <w:pPr>
        <w:jc w:val="both"/>
        <w:rPr>
          <w:rFonts w:ascii="Times New Roman" w:hAnsi="Times New Roman"/>
          <w:lang w:val="uk-UA"/>
        </w:rPr>
      </w:pPr>
    </w:p>
    <w:sectPr w:rsidR="00F0392C" w:rsidRPr="00F3726D" w:rsidSect="00F3726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724"/>
    <w:rsid w:val="000105ED"/>
    <w:rsid w:val="000373B5"/>
    <w:rsid w:val="00104EA4"/>
    <w:rsid w:val="001D504B"/>
    <w:rsid w:val="00305064"/>
    <w:rsid w:val="004946A7"/>
    <w:rsid w:val="0055559E"/>
    <w:rsid w:val="00572510"/>
    <w:rsid w:val="00591724"/>
    <w:rsid w:val="00677FD5"/>
    <w:rsid w:val="00937B25"/>
    <w:rsid w:val="009715BC"/>
    <w:rsid w:val="00A018CF"/>
    <w:rsid w:val="00B263AF"/>
    <w:rsid w:val="00D52474"/>
    <w:rsid w:val="00E16ABE"/>
    <w:rsid w:val="00E21507"/>
    <w:rsid w:val="00E45FC3"/>
    <w:rsid w:val="00E564A2"/>
    <w:rsid w:val="00EA6B3F"/>
    <w:rsid w:val="00F0392C"/>
    <w:rsid w:val="00F37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07"/>
    <w:pPr>
      <w:ind w:firstLine="56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91724"/>
    <w:rPr>
      <w:rFonts w:cs="Times New Roman"/>
    </w:rPr>
  </w:style>
  <w:style w:type="character" w:styleId="Hyperlink">
    <w:name w:val="Hyperlink"/>
    <w:basedOn w:val="DefaultParagraphFont"/>
    <w:uiPriority w:val="99"/>
    <w:rsid w:val="00591724"/>
    <w:rPr>
      <w:rFonts w:cs="Times New Roman"/>
      <w:color w:val="0000FF"/>
      <w:u w:val="single"/>
    </w:rPr>
  </w:style>
  <w:style w:type="paragraph" w:customStyle="1" w:styleId="normalweb">
    <w:name w:val="normalweb"/>
    <w:basedOn w:val="Normal"/>
    <w:uiPriority w:val="99"/>
    <w:rsid w:val="00591724"/>
    <w:pPr>
      <w:spacing w:before="100" w:beforeAutospacing="1" w:after="100" w:afterAutospacing="1"/>
      <w:ind w:firstLine="0"/>
    </w:pPr>
    <w:rPr>
      <w:rFonts w:ascii="Times New Roman" w:eastAsia="Times New Roman" w:hAnsi="Times New Roman"/>
      <w:sz w:val="24"/>
      <w:szCs w:val="24"/>
      <w:lang w:eastAsia="ru-RU"/>
    </w:rPr>
  </w:style>
  <w:style w:type="paragraph" w:styleId="NormalWeb0">
    <w:name w:val="Normal (Web)"/>
    <w:basedOn w:val="Normal"/>
    <w:uiPriority w:val="99"/>
    <w:rsid w:val="00F3726D"/>
    <w:pPr>
      <w:spacing w:before="100" w:beforeAutospacing="1" w:after="100" w:afterAutospacing="1"/>
      <w:ind w:firstLine="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binet.tax.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Pages>
  <Words>956</Words>
  <Characters>5450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dc:creator>
  <cp:keywords/>
  <dc:description/>
  <cp:lastModifiedBy>buhg4</cp:lastModifiedBy>
  <cp:revision>4</cp:revision>
  <cp:lastPrinted>2020-12-15T06:20:00Z</cp:lastPrinted>
  <dcterms:created xsi:type="dcterms:W3CDTF">2020-12-15T06:00:00Z</dcterms:created>
  <dcterms:modified xsi:type="dcterms:W3CDTF">2020-12-17T06:24:00Z</dcterms:modified>
</cp:coreProperties>
</file>